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B4E4D" w:rsidRPr="00AB4E4D" w:rsidTr="00AB4E4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4E4D" w:rsidRPr="00AB4E4D" w:rsidRDefault="00AB4E4D" w:rsidP="00AB4E4D">
            <w:pPr>
              <w:spacing w:after="0" w:line="240" w:lineRule="atLeast"/>
              <w:rPr>
                <w:rFonts w:ascii="Times New Roman" w:eastAsia="Times New Roman" w:hAnsi="Times New Roman" w:cs="Times New Roman"/>
                <w:sz w:val="24"/>
                <w:szCs w:val="24"/>
                <w:lang w:eastAsia="tr-TR"/>
              </w:rPr>
            </w:pPr>
            <w:bookmarkStart w:id="0" w:name="_GoBack"/>
            <w:bookmarkEnd w:id="0"/>
            <w:r w:rsidRPr="00AB4E4D">
              <w:rPr>
                <w:rFonts w:ascii="Arial" w:eastAsia="Times New Roman" w:hAnsi="Arial" w:cs="Arial"/>
                <w:sz w:val="16"/>
                <w:szCs w:val="16"/>
                <w:lang w:eastAsia="tr-TR"/>
              </w:rPr>
              <w:t>25 Ocak 2018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4E4D" w:rsidRPr="00AB4E4D" w:rsidRDefault="00AB4E4D" w:rsidP="00AB4E4D">
            <w:pPr>
              <w:spacing w:after="0" w:line="240" w:lineRule="atLeast"/>
              <w:jc w:val="center"/>
              <w:rPr>
                <w:rFonts w:ascii="Times New Roman" w:eastAsia="Times New Roman" w:hAnsi="Times New Roman" w:cs="Times New Roman"/>
                <w:sz w:val="24"/>
                <w:szCs w:val="24"/>
                <w:lang w:eastAsia="tr-TR"/>
              </w:rPr>
            </w:pPr>
            <w:r w:rsidRPr="00AB4E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4E4D" w:rsidRPr="00AB4E4D" w:rsidRDefault="00AB4E4D" w:rsidP="00AB4E4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AB4E4D">
              <w:rPr>
                <w:rFonts w:ascii="Arial" w:eastAsia="Times New Roman" w:hAnsi="Arial" w:cs="Arial"/>
                <w:sz w:val="16"/>
                <w:szCs w:val="16"/>
                <w:lang w:eastAsia="tr-TR"/>
              </w:rPr>
              <w:t>Sayı : 30312</w:t>
            </w:r>
          </w:p>
        </w:tc>
      </w:tr>
      <w:tr w:rsidR="00AB4E4D" w:rsidRPr="00AB4E4D" w:rsidTr="00AB4E4D">
        <w:trPr>
          <w:trHeight w:val="480"/>
        </w:trPr>
        <w:tc>
          <w:tcPr>
            <w:tcW w:w="8789" w:type="dxa"/>
            <w:gridSpan w:val="3"/>
            <w:tcMar>
              <w:top w:w="0" w:type="dxa"/>
              <w:left w:w="108" w:type="dxa"/>
              <w:bottom w:w="0" w:type="dxa"/>
              <w:right w:w="108" w:type="dxa"/>
            </w:tcMar>
            <w:vAlign w:val="center"/>
            <w:hideMark/>
          </w:tcPr>
          <w:p w:rsidR="00AB4E4D" w:rsidRPr="00AB4E4D" w:rsidRDefault="00AB4E4D" w:rsidP="00AB4E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4E4D">
              <w:rPr>
                <w:rFonts w:ascii="Arial" w:eastAsia="Times New Roman" w:hAnsi="Arial" w:cs="Arial"/>
                <w:b/>
                <w:bCs/>
                <w:color w:val="000080"/>
                <w:sz w:val="18"/>
                <w:szCs w:val="18"/>
                <w:lang w:eastAsia="tr-TR"/>
              </w:rPr>
              <w:t>TEBLİĞ</w:t>
            </w:r>
          </w:p>
        </w:tc>
      </w:tr>
      <w:tr w:rsidR="00AB4E4D" w:rsidRPr="00AB4E4D" w:rsidTr="00AB4E4D">
        <w:trPr>
          <w:trHeight w:val="480"/>
        </w:trPr>
        <w:tc>
          <w:tcPr>
            <w:tcW w:w="8789" w:type="dxa"/>
            <w:gridSpan w:val="3"/>
            <w:tcMar>
              <w:top w:w="0" w:type="dxa"/>
              <w:left w:w="108" w:type="dxa"/>
              <w:bottom w:w="0" w:type="dxa"/>
              <w:right w:w="108" w:type="dxa"/>
            </w:tcMar>
            <w:vAlign w:val="center"/>
            <w:hideMark/>
          </w:tcPr>
          <w:p w:rsidR="00AB4E4D" w:rsidRPr="00AB4E4D" w:rsidRDefault="00AB4E4D" w:rsidP="00AB4E4D">
            <w:pPr>
              <w:spacing w:after="0" w:line="240" w:lineRule="atLeast"/>
              <w:ind w:firstLine="566"/>
              <w:jc w:val="both"/>
              <w:rPr>
                <w:rFonts w:ascii="Times New Roman" w:eastAsia="Times New Roman" w:hAnsi="Times New Roman" w:cs="Times New Roman"/>
                <w:u w:val="single"/>
                <w:lang w:eastAsia="tr-TR"/>
              </w:rPr>
            </w:pPr>
            <w:r w:rsidRPr="00AB4E4D">
              <w:rPr>
                <w:rFonts w:ascii="Times New Roman" w:eastAsia="Times New Roman" w:hAnsi="Times New Roman" w:cs="Times New Roman"/>
                <w:sz w:val="18"/>
                <w:szCs w:val="18"/>
                <w:u w:val="single"/>
                <w:lang w:eastAsia="tr-TR"/>
              </w:rPr>
              <w:t>Gümrük ve Ticaret Bakanlığından:</w:t>
            </w:r>
          </w:p>
          <w:p w:rsidR="00AB4E4D" w:rsidRPr="00AB4E4D" w:rsidRDefault="00AB4E4D" w:rsidP="00AB4E4D">
            <w:pPr>
              <w:spacing w:before="56" w:after="170" w:line="240" w:lineRule="atLeast"/>
              <w:jc w:val="center"/>
              <w:rPr>
                <w:rFonts w:ascii="Times New Roman" w:eastAsia="Times New Roman" w:hAnsi="Times New Roman" w:cs="Times New Roman"/>
                <w:b/>
                <w:bCs/>
                <w:sz w:val="19"/>
                <w:szCs w:val="19"/>
                <w:lang w:eastAsia="tr-TR"/>
              </w:rPr>
            </w:pPr>
            <w:r w:rsidRPr="00AB4E4D">
              <w:rPr>
                <w:rFonts w:ascii="Times New Roman" w:eastAsia="Times New Roman" w:hAnsi="Times New Roman" w:cs="Times New Roman"/>
                <w:b/>
                <w:bCs/>
                <w:sz w:val="18"/>
                <w:szCs w:val="18"/>
                <w:lang w:eastAsia="tr-TR"/>
              </w:rPr>
              <w:t>ELEKTRONİK TEBLİGAT SİSTEMİ GENEL TEBLİĞİ (SIRA NO: 1)</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Amaç ve kapsam</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1 –</w:t>
            </w:r>
            <w:r w:rsidRPr="00AB4E4D">
              <w:rPr>
                <w:rFonts w:ascii="Times New Roman" w:eastAsia="Times New Roman" w:hAnsi="Times New Roman" w:cs="Times New Roman"/>
                <w:sz w:val="18"/>
                <w:szCs w:val="18"/>
                <w:lang w:eastAsia="tr-TR"/>
              </w:rPr>
              <w:t> (1) Bu Tebliğin amacı, Gümrük ve Ticaret Bakanlığınca ve Bakanlığın görev alanı kapsamında olan il ve ilçe tüketici hakem heyetlerince düzenlenen ve muhataplarına 11/2/1959 tarihli ve 7201 sayılı Tebligat Kanunu hükümlerine göre tebliği gereken evrakın elektronik ortamda tebliğ edilmesi ile ilgili usul ve esasları belirlemektir.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Dayanak</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2 – </w:t>
            </w:r>
            <w:r w:rsidRPr="00AB4E4D">
              <w:rPr>
                <w:rFonts w:ascii="Times New Roman" w:eastAsia="Times New Roman" w:hAnsi="Times New Roman" w:cs="Times New Roman"/>
                <w:sz w:val="18"/>
                <w:szCs w:val="18"/>
                <w:lang w:eastAsia="tr-TR"/>
              </w:rPr>
              <w:t>(1) Bu Tebliğ, 27/10/1999 tarihli ve 4458 sayılı Gümrük Kanununun 10 uncu maddesi, 30/3/2005 tarihli ve 5326 sayılı Kabahatler Kanununun 20 ve 26 ncı maddeleri, 3/6/2011 tarihli ve 640 sayılı Gümrük ve Ticaret Bakanlığının Teşkilat ve Görevleri Hakkında Kanun Hükmünde Kararnamenin 40/A maddesine dayanılarak hazırlanmıştır.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Tanımlar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3 – </w:t>
            </w:r>
            <w:r w:rsidRPr="00AB4E4D">
              <w:rPr>
                <w:rFonts w:ascii="Times New Roman" w:eastAsia="Times New Roman" w:hAnsi="Times New Roman" w:cs="Times New Roman"/>
                <w:sz w:val="18"/>
                <w:szCs w:val="18"/>
                <w:lang w:eastAsia="tr-TR"/>
              </w:rPr>
              <w:t>(1) Bu Tebliğde geçen;</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a) Bakanlık: Gümrük ve Ticaret Bakanlığını,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b) Başkanlık: Maliye Bakanlığı Gelir İdaresi Başkanlığını,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c) Elektronik imza: 15/1/2004 tarihli ve 5070 sayılı Elektronik İmza Kanununun 4 üncü maddesinde tanımlanan güvenli elektronik imzayı,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ç) Elektronik tebligat: 7201 sayılı Tebligat Kanunu hükümleri uyarınca, Gümrük ve Ticaret Bakanlığının görev ve yetkileri kapsamında tebliği gereken evrakın 4/1/1961 tarihli ve 213 sayılı Vergi Usul Kanununun 107/A maddesi hükümlerine göre Maliye Bakanlığı Gelir İdaresi Başkanlığı tarafından kurulan teknik altyapısı üzerinden muhatapların elektronik adreslerine tebliğ edilmesini,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d) Elektronik tebligat adresi: Gümrük ve Ticaret Bakanlığı ve Bakanlığın görev alanı kapsamında olan il ve ilçe tüketici hakem heyetlerinin işlemlerinde kullanılmak üzere Maliye Bakanlığı Gelir İdaresi Başkanlığınca gerçek ve tüzel kişilere verilen tebliğe elverişli elektronik ortamı,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e) Elektronik Tebligat Talep Bildirimi: 27/8/2015 tarihli ve 29458 sayılı Resmî Gazete’de yayımlanan Vergi Usul Kanunu Genel Tebliği (Sıra No: 456)’nin Ek 1 ve Ek 2’sinde yer alan başvuru formunu,</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f) Elektronik Tebligat Sistemi: Bilişim sistemleri vasıtasıyla muhatabın elektronik tebligat adresine iletilmek üzere, tebliğ evrakının gönderildiği ve elektronik ortamda delillendirilerek tesliminin sağlandığı sistemi,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g) Elektronik Tebligat Portalı: Bakanlıkça gerekli görülen tebligat işlemlerinin yapıldığı elektronik ortamı,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ğ) İdare: Muhataplara 7201 sayılı Tebligat Kanunu hükümlerine göre tebliğ edilecek evrakı düzenleyen birimi,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h) İşlem zaman bilgisi: Bir elektronik verinin, üretildiği, değiştirildiği, gönderildiği, alındığı ve/veya kaydedildiği zaman bilgisini,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ı) Muhatap: Elektronik ortamda tebligat yapılacak olanları,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i) Olay kaydı: Elektronik tebligat hizmetinin verilmesi esnasında meydana gelen tüm bilişim sistemi işlem kayıtlarını,</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ifade eder.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Elektronik tebligat yapılacak kişiler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4 – </w:t>
            </w:r>
            <w:r w:rsidRPr="00AB4E4D">
              <w:rPr>
                <w:rFonts w:ascii="Times New Roman" w:eastAsia="Times New Roman" w:hAnsi="Times New Roman" w:cs="Times New Roman"/>
                <w:sz w:val="18"/>
                <w:szCs w:val="18"/>
                <w:lang w:eastAsia="tr-TR"/>
              </w:rPr>
              <w:t>(1) 4458 sayılı Kanuna göre gümrük yükümlülüğünü yerine getirmekle sorumlu bütün kişiler dâhil olmak üzere, Maliye Bakanlığınca kendilerine tebliğe elverişli elektronik adres kullanma zorunluluğu getirilenler ve isteğe bağlı olarak elektronik tebligat yapılmasını talep edenler, bu Tebliğ kapsamında Elektronik Tebligat Sisteminden yararlanabilirler.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(2) Tüzel kişilik bünyesinde faaliyet gösteren veya göstermeyen bütün gümrük müşavirleri ve yetkilendirilmiş gümrük müşavirleri Elektronik Tebligat Sistemini kullanmak zorundadır.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(3) Birinci ve ikinci fıkrada belirtilen kendisine elektronik ortamda tebliğ yapılabilecek olanlar, elektronik tebligat adresi almak ve Elektronik Tebligat Sistemini kullanmak zorundadır.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(4) Elektronik tebligat adresinin edinimine ilişkin usul ve esaslar Başkanlıkça belirlenir.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Elektronik tebligatın gönderilmesi ve muhatabına iletilmesi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5 –</w:t>
            </w:r>
            <w:r w:rsidRPr="00AB4E4D">
              <w:rPr>
                <w:rFonts w:ascii="Times New Roman" w:eastAsia="Times New Roman" w:hAnsi="Times New Roman" w:cs="Times New Roman"/>
                <w:sz w:val="18"/>
                <w:szCs w:val="18"/>
                <w:lang w:eastAsia="tr-TR"/>
              </w:rPr>
              <w:t> (1) Bu Tebliğ kapsamında tebliği gereken evrak, elektronik imza ile imzalanır ve Bakanlık tarafından Başkanlık teknik alt yapısı kullanılarak tebliğ yapılacak muhatabın elektronik tebligat adresine iletilir.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(2) Kullanıcı kodu, parola ve şifre Başkanlık teknik altyapısı üzerinde üretilir ve muhatabına verilir. Kullanıcı kodu, parola ve şifresi olmayan gerçek kişiler ise Elektronik Tebligat Sistemine her girişte yapılan kimlik doğrulaması ile elektronik tebligat adreslerine erişebilirler.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lastRenderedPageBreak/>
              <w:t>(3) Elektronik imzalı tebligat, muhatabın elektronik ortamdaki adresine ulaştığı tarihi izleyen beşinci günün sonunda yapılmış sayılır.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(4) Olay kayıtları, işlem zaman bilgisi eklenerek, erişilebilir şekilde arşivlerde otuz yıl süreyle Başkanlık tarafından saklanır. Hesaba erişim bilgilerinin iletimi ile Elektronik Tebligat Sistemine erişimin güvenli bir şekilde yapılması için gerekli tedbirler Başkanlık tarafından alınır ve talep halinde elektronik tebligata ilişkin delil kayıtları ilgilisine veya yetkili mercilere sunulur.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Elektronik Tebligat Sisteminden çıkış</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6 –</w:t>
            </w:r>
            <w:r w:rsidRPr="00AB4E4D">
              <w:rPr>
                <w:rFonts w:ascii="Times New Roman" w:eastAsia="Times New Roman" w:hAnsi="Times New Roman" w:cs="Times New Roman"/>
                <w:sz w:val="18"/>
                <w:szCs w:val="18"/>
                <w:lang w:eastAsia="tr-TR"/>
              </w:rPr>
              <w:t> (1) Zorunlu veya isteğe bağlı Elektronik Tebligat Sistemine dâhil olanların aşağıdaki durumlar dışında Elektronik Tebligat Sisteminden çıkmaları mümkün değildir. İlgilinin elektronik tebligat adresi;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a) Tüzel kişilerde ticaret sicil kaydının silindiği (nevi değişikliği ve birleşme halleri dâhil) tarih itibarıyla,</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b) Gerçek kişilerde ise ilgilinin ölümü veya gaipliğine karar verildiğinin idare tarafından tespit edildiği durumlarda ölüm/karar tarihi itibarıyla re’sen,</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Başkanlıkça kapatılır.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(2) Mirasçıların bağlı olunan vergi dairesine başvurması halinde de vefat eden kişinin elektronik tebligat adresi, birinci fıkrada belirtilen tarihler esas alınarak kullanıma kapatılır.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Muhatabın sorumluluğu</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7 – </w:t>
            </w:r>
            <w:r w:rsidRPr="00AB4E4D">
              <w:rPr>
                <w:rFonts w:ascii="Times New Roman" w:eastAsia="Times New Roman" w:hAnsi="Times New Roman" w:cs="Times New Roman"/>
                <w:sz w:val="18"/>
                <w:szCs w:val="18"/>
                <w:lang w:eastAsia="tr-TR"/>
              </w:rPr>
              <w:t>(1) Muhatap;</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a) Elektronik Tebligat Talep Bildirimini süresinde tam ve doğru olarak Başkanlığa beyan etmekle,</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b) Beyan edilen bilgilerde meydana gelecek değişiklikleri öncesinde veya en geç değişiklik tarihinde Başkanlığa bildirmekle,</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c) Elektronik Tebligat Talep Bildiriminde belirtilen tüm şartlara riayet etmekle,</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ç) Elektronik Tebligat Sisteminin kullanımına ilişkin olarak kendisine verilmiş olan kullanıcı kodu, parola ve şifre gibi bilgilerini korumakla, üçüncü kişilerle paylaşmamakla ve başkasına kullandırmamakla,</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d) Elektronik Tebligat Sisteminin kullanımına ilişkin olarak kendisine verilmiş olan kullanıcı kodu, parola ve şifre gibi bilgilerin istenmeyen şekilde üçüncü kişilerin eline geçtiğini tespit ettiğinde derhal Başkanlığa bilgi vermekle,</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yükümlüdür.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(2) Birinci fıkrada yer verilen sorumlulukların yerine getirilmemesinden doğacak hukuki sonuçlar muhatabın sorumluluğunda olup tüm bildirimler ilgili mercilere ulaştığı anda sonuç doğurur.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Cezai hüküm</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8 –</w:t>
            </w:r>
            <w:r w:rsidRPr="00AB4E4D">
              <w:rPr>
                <w:rFonts w:ascii="Times New Roman" w:eastAsia="Times New Roman" w:hAnsi="Times New Roman" w:cs="Times New Roman"/>
                <w:sz w:val="18"/>
                <w:szCs w:val="18"/>
                <w:lang w:eastAsia="tr-TR"/>
              </w:rPr>
              <w:t> (1) Maliye Bakanlığı tarafından Elektronik Tebligat Sistemini kullanma zorunluluğu getirilenler hariç olmak üzere, bu Tebliğ ile kendilerine Elektronik Tebligat Sistemi kullanma zorunluluğu getirilenler, Tebliğ hükümlerine uymamaları halinde 4458 sayılı Kanunun 241 inci maddesinin birinci fıkrası uyarınca cezalandırılır.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Diğer hususlar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9 – </w:t>
            </w:r>
            <w:r w:rsidRPr="00AB4E4D">
              <w:rPr>
                <w:rFonts w:ascii="Times New Roman" w:eastAsia="Times New Roman" w:hAnsi="Times New Roman" w:cs="Times New Roman"/>
                <w:sz w:val="18"/>
                <w:szCs w:val="18"/>
                <w:lang w:eastAsia="tr-TR"/>
              </w:rPr>
              <w:t>(1) Bu Tebliğ hükümlerine göre tebliği gereken evrak muhataplara Elektronik Tebligat Sistemi ile tebliğ edilebileceği gibi 7201 sayılı Tebligat Kanununda yer verilen diğer tebligat hükümlerine göre de tebliğ edilebilir.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(2) Elektronik tebligat yapılması amacıyla Bakanlık tarafından Elektronik Tebligat Sistemi üzerinden tebliğ edilmek üzere Başkanlığa gönderilen belgeler için muhatabına ayrıca kâğıt ortamında tebliğ yapılmaz.</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(3) 5326 sayılı Kabahatler Kanununun 20 nci maddesi kapsamında zamanaşımı süresi dolmuş veya dolmasına 10 günden az süre kalan belgeler için Elektronik Tebligat Sistemi kullanılmaz ve Başkanlığa gönderilmez.</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sz w:val="18"/>
                <w:szCs w:val="18"/>
                <w:lang w:eastAsia="tr-TR"/>
              </w:rPr>
              <w:t>(4) Bu Tebliğ kapsamında Başkanlıkça yapılması gereken tahsilat işlemleri, Başkanlığın ödeme kanalları üzerinden yapılır.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Yetki</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10 – </w:t>
            </w:r>
            <w:r w:rsidRPr="00AB4E4D">
              <w:rPr>
                <w:rFonts w:ascii="Times New Roman" w:eastAsia="Times New Roman" w:hAnsi="Times New Roman" w:cs="Times New Roman"/>
                <w:sz w:val="18"/>
                <w:szCs w:val="18"/>
                <w:lang w:eastAsia="tr-TR"/>
              </w:rPr>
              <w:t>(1) Bu Tebliğin uygulanmasını temin etmek amacıyla gerekli göreceği her türlü tedbiri almaya, özel, istisnai ve zorunlu durumlar ile bu Tebliğde yer almayan hususları inceleyip sonuçlandırmaya Bakanlık yetkilidir.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Yürürlük</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11 –</w:t>
            </w:r>
            <w:r w:rsidRPr="00AB4E4D">
              <w:rPr>
                <w:rFonts w:ascii="Times New Roman" w:eastAsia="Times New Roman" w:hAnsi="Times New Roman" w:cs="Times New Roman"/>
                <w:sz w:val="18"/>
                <w:szCs w:val="18"/>
                <w:lang w:eastAsia="tr-TR"/>
              </w:rPr>
              <w:t> (1) Bu Tebliğ 1/2/2018 tarihinde yürürlüğe girer.</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Yürütme</w:t>
            </w:r>
          </w:p>
          <w:p w:rsidR="00AB4E4D" w:rsidRPr="00AB4E4D" w:rsidRDefault="00AB4E4D" w:rsidP="00AB4E4D">
            <w:pPr>
              <w:spacing w:after="0" w:line="240" w:lineRule="atLeast"/>
              <w:ind w:firstLine="566"/>
              <w:jc w:val="both"/>
              <w:rPr>
                <w:rFonts w:ascii="Times New Roman" w:eastAsia="Times New Roman" w:hAnsi="Times New Roman" w:cs="Times New Roman"/>
                <w:sz w:val="19"/>
                <w:szCs w:val="19"/>
                <w:lang w:eastAsia="tr-TR"/>
              </w:rPr>
            </w:pPr>
            <w:r w:rsidRPr="00AB4E4D">
              <w:rPr>
                <w:rFonts w:ascii="Times New Roman" w:eastAsia="Times New Roman" w:hAnsi="Times New Roman" w:cs="Times New Roman"/>
                <w:b/>
                <w:bCs/>
                <w:sz w:val="18"/>
                <w:szCs w:val="18"/>
                <w:lang w:eastAsia="tr-TR"/>
              </w:rPr>
              <w:t>MADDE 12 –</w:t>
            </w:r>
            <w:r w:rsidRPr="00AB4E4D">
              <w:rPr>
                <w:rFonts w:ascii="Times New Roman" w:eastAsia="Times New Roman" w:hAnsi="Times New Roman" w:cs="Times New Roman"/>
                <w:sz w:val="18"/>
                <w:szCs w:val="18"/>
                <w:lang w:eastAsia="tr-TR"/>
              </w:rPr>
              <w:t> (1) Bu Tebliğ hükümlerini Gümrük ve Ticaret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4D"/>
    <w:rsid w:val="002070EC"/>
    <w:rsid w:val="004D5A47"/>
    <w:rsid w:val="00525466"/>
    <w:rsid w:val="00607AA9"/>
    <w:rsid w:val="00AB4E4D"/>
    <w:rsid w:val="00BA610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C9F6E-1637-4CB9-BB1A-C51198DD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B4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B4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B4E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1185</Words>
  <Characters>6757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Nexia</dc:creator>
  <cp:keywords/>
  <dc:description/>
  <cp:lastModifiedBy>Nexia Turkey</cp:lastModifiedBy>
  <cp:revision>2</cp:revision>
  <dcterms:created xsi:type="dcterms:W3CDTF">2018-01-29T06:41:00Z</dcterms:created>
  <dcterms:modified xsi:type="dcterms:W3CDTF">2018-01-29T06:41:00Z</dcterms:modified>
</cp:coreProperties>
</file>